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השוואה: "מדירה לדירה" מול "התיק השחור"</w:t>
      </w:r>
    </w:p>
    <w:p>
      <w:pPr>
        <w:bidi/>
        <w:jc w:val="center"/>
      </w:pPr>
      <w:r>
        <w:rPr>
          <w:rFonts w:ascii="Arial" w:hAnsi="Arial" w:cs="Arial"/>
          <w:color w:val="555577"/>
          <w:sz w:val="28"/>
          <w:rtl/>
          <w:szCs w:val="28"/>
        </w:rPr>
        <w:t>משימת השוואה בנוסח בגרות</w:t>
      </w:r>
    </w:p>
    <w:p>
      <w:pPr>
        <w:bidi/>
        <w:jc w:val="right"/>
      </w:pPr>
      <w:r>
        <w:rPr>
          <w:rFonts w:ascii="Arial" w:hAnsi="Arial" w:cs="Arial"/>
          <w:sz w:val="24"/>
          <w:rtl/>
          <w:szCs w:val="24"/>
        </w:rPr>
        <w:t>יצרה: רוית ראש בן ישי</w:t>
      </w:r>
    </w:p>
    <w:p>
      <w:r>
        <w:br w:type="page"/>
      </w:r>
    </w:p>
    <w:p>
      <w:pPr>
        <w:bidi/>
        <w:pStyle w:val="Heading1"/>
        <w:jc w:val="right"/>
      </w:pPr>
      <w:r>
        <w:rPr>
          <w:rFonts w:ascii="Arial" w:hAnsi="Arial" w:cs="Arial"/>
          <w:b/>
          <w:color w:val="4B2BA8"/>
          <w:sz w:val="40"/>
          <w:rtl/>
          <w:szCs w:val="40"/>
          <w:bCs/>
        </w:rPr>
        <w:t>מהדורה למורה – תשובת מופת</w:t>
      </w:r>
    </w:p>
    <w:p>
      <w:pPr>
        <w:bidi/>
        <w:jc w:val="right"/>
      </w:pPr>
      <w:r>
        <w:rPr>
          <w:rFonts w:ascii="Arial" w:hAnsi="Arial" w:cs="Arial"/>
          <w:sz w:val="24"/>
          <w:rtl/>
          <w:szCs w:val="24"/>
        </w:rPr>
        <w:t>השוו בין "מדירה לדירה" לבין "התיק השחור": הסבירו כיצד מעוצבת בכל אחד מהסיפורים בדידותו של הגיבור, ומה תפקידה של הדמות המשנית שמביאה איתה רגע של קרבה. התייחסו לנקודה אחת דומה ולנקודה אחת שונה.</w:t>
      </w:r>
    </w:p>
    <w:p>
      <w:pPr>
        <w:bidi/>
        <w:jc w:val="right"/>
      </w:pPr>
      <w:r>
        <w:rPr>
          <w:rFonts w:ascii="Arial" w:hAnsi="Arial" w:cs="Arial"/>
          <w:sz w:val="24"/>
          <w:rtl/>
          <w:szCs w:val="24"/>
        </w:rPr>
        <w:t>בשני הסיפורים הגיבור בודד ומנותק, ובשניהם דווקא דמות שולית – תינוק מוזנח או מורה שכנה – פותחת סדק של קרבה. עם זאת, הסיפורים שונים במקור הבדידות ובמה שהגיבור עושה עם רגע הקרבה.</w:t>
      </w:r>
    </w:p>
    <w:p>
      <w:pPr>
        <w:bidi/>
        <w:jc w:val="right"/>
      </w:pPr>
      <w:r>
        <w:rPr>
          <w:rFonts w:ascii="Arial" w:hAnsi="Arial" w:cs="Arial"/>
          <w:sz w:val="24"/>
          <w:rtl/>
          <w:szCs w:val="24"/>
        </w:rPr>
        <w:t>דומה: בשני הסיפורים מגע פיזי קטן הוא נקודת המפנה. ב"מדירה לדירה" המספר מחבק את התינוק בשובו, וב"התיק השחור" המורה מניחה יד על עורפו של הילד, והוא מרגיש נועם שלא הכיר. בשני המקרים המגע מגיע ממי שאינו "אמור" לדאוג לגיבור – וכך מודגש מה שחסר לו.</w:t>
      </w:r>
    </w:p>
    <w:p>
      <w:pPr>
        <w:bidi/>
        <w:jc w:val="right"/>
      </w:pPr>
      <w:r>
        <w:rPr>
          <w:rFonts w:ascii="Arial" w:hAnsi="Arial" w:cs="Arial"/>
          <w:sz w:val="24"/>
          <w:rtl/>
          <w:szCs w:val="24"/>
        </w:rPr>
        <w:t>שונה: המספר של עגנון בודד מבחירה פסיבית – הוא בורח לשקט ומגלה שהשקט מקפיא. הילד של קנז בודד בעל כורחו – אביו יושב לידו אך שקוע בעיתונים ובטלפון, והתיק השחור הסגור מסמל את הסוד והריחוק ביניהם. לכן אצל עגנון הסיום הוא בחירה ("עשיתי את אזני כדי שאשמע עוד"), ואצל קנז הוא רגע חולף שהילד אינו יודע עדיין להחזיק בו – הוא מתאפק ובורח.</w:t>
      </w:r>
    </w:p>
    <w:p>
      <w:pPr>
        <w:bidi/>
        <w:jc w:val="right"/>
      </w:pPr>
      <w:r>
        <w:rPr>
          <w:rFonts w:ascii="Arial" w:hAnsi="Arial" w:cs="Arial"/>
          <w:sz w:val="24"/>
          <w:rtl/>
          <w:szCs w:val="24"/>
        </w:rPr>
        <w:t>לסיכום, שני הסיפורים מלמדים שחסד קטן יכול להיות מרפא, אבל רק ב"מדירה לדירה" הגיבור בוחר לפתוח את עצמו אליו; ב"התיק השחור" אנחנו נשארים עם ילד שזקוק לקרבה ועדיין אינו יכול לבקש אותה.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היבט</w:t>
            </w:r>
          </w:p>
        </w:tc>
        <w:tc>
          <w:tcPr>
            <w:tcW w:type="dxa" w:w="3475"/>
            <w:shd w:val="clear" w:fill="E5DBFF"/>
          </w:tcPr>
          <w:p>
            <w:pPr>
              <w:bidi/>
              <w:jc w:val="right"/>
            </w:pPr>
            <w:r>
              <w:rPr>
                <w:rFonts w:ascii="Arial" w:hAnsi="Arial" w:cs="Arial"/>
                <w:b/>
                <w:sz w:val="22"/>
                <w:rtl/>
                <w:szCs w:val="22"/>
                <w:bCs/>
              </w:rPr>
              <w:t>מדירה לדירה</w:t>
            </w:r>
          </w:p>
        </w:tc>
        <w:tc>
          <w:tcPr>
            <w:tcW w:type="dxa" w:w="3475"/>
            <w:shd w:val="clear" w:fill="E5DBFF"/>
          </w:tcPr>
          <w:p>
            <w:pPr>
              <w:bidi/>
              <w:jc w:val="right"/>
            </w:pPr>
            <w:r>
              <w:rPr>
                <w:rFonts w:ascii="Arial" w:hAnsi="Arial" w:cs="Arial"/>
                <w:b/>
                <w:sz w:val="22"/>
                <w:rtl/>
                <w:szCs w:val="22"/>
                <w:bCs/>
              </w:rPr>
              <w:t>התיק השחור</w:t>
            </w:r>
          </w:p>
        </w:tc>
      </w:tr>
      <w:tr>
        <w:tc>
          <w:tcPr>
            <w:tcW w:type="dxa" w:w="3475"/>
          </w:tcPr>
          <w:p>
            <w:pPr>
              <w:bidi/>
              <w:jc w:val="right"/>
            </w:pPr>
            <w:r>
              <w:rPr>
                <w:rFonts w:ascii="Arial" w:hAnsi="Arial" w:cs="Arial"/>
                <w:sz w:val="22"/>
                <w:rtl/>
                <w:szCs w:val="22"/>
              </w:rPr>
              <w:t>הגיבור</w:t>
            </w:r>
          </w:p>
        </w:tc>
        <w:tc>
          <w:tcPr>
            <w:tcW w:type="dxa" w:w="3475"/>
          </w:tcPr>
          <w:p>
            <w:pPr>
              <w:bidi/>
              <w:jc w:val="right"/>
            </w:pPr>
            <w:r>
              <w:rPr>
                <w:rFonts w:ascii="Arial" w:hAnsi="Arial" w:cs="Arial"/>
                <w:sz w:val="22"/>
                <w:rtl/>
                <w:szCs w:val="22"/>
              </w:rPr>
              <w:t>מבוגר חולה, בודד ופסיבי, בלי שם</w:t>
            </w:r>
          </w:p>
        </w:tc>
        <w:tc>
          <w:tcPr>
            <w:tcW w:type="dxa" w:w="3475"/>
          </w:tcPr>
          <w:p>
            <w:pPr>
              <w:bidi/>
              <w:jc w:val="right"/>
            </w:pPr>
            <w:r>
              <w:rPr>
                <w:rFonts w:ascii="Arial" w:hAnsi="Arial" w:cs="Arial"/>
                <w:sz w:val="22"/>
                <w:rtl/>
                <w:szCs w:val="22"/>
              </w:rPr>
              <w:t>ילד בלי שם, שיושב מול אביו ומרגיש שקוף</w:t>
            </w:r>
          </w:p>
        </w:tc>
      </w:tr>
      <w:tr>
        <w:tc>
          <w:tcPr>
            <w:tcW w:type="dxa" w:w="3475"/>
          </w:tcPr>
          <w:p>
            <w:pPr>
              <w:bidi/>
              <w:jc w:val="right"/>
            </w:pPr>
            <w:r>
              <w:rPr>
                <w:rFonts w:ascii="Arial" w:hAnsi="Arial" w:cs="Arial"/>
                <w:sz w:val="22"/>
                <w:rtl/>
                <w:szCs w:val="22"/>
              </w:rPr>
              <w:t>המספר</w:t>
            </w:r>
          </w:p>
        </w:tc>
        <w:tc>
          <w:tcPr>
            <w:tcW w:type="dxa" w:w="3475"/>
          </w:tcPr>
          <w:p>
            <w:pPr>
              <w:bidi/>
              <w:jc w:val="right"/>
            </w:pPr>
            <w:r>
              <w:rPr>
                <w:rFonts w:ascii="Arial" w:hAnsi="Arial" w:cs="Arial"/>
                <w:sz w:val="22"/>
                <w:rtl/>
                <w:szCs w:val="22"/>
              </w:rPr>
              <w:t>גוף ראשון – המספר מספר על עצמו</w:t>
            </w:r>
          </w:p>
        </w:tc>
        <w:tc>
          <w:tcPr>
            <w:tcW w:type="dxa" w:w="3475"/>
          </w:tcPr>
          <w:p>
            <w:pPr>
              <w:bidi/>
              <w:jc w:val="right"/>
            </w:pPr>
            <w:r>
              <w:rPr>
                <w:rFonts w:ascii="Arial" w:hAnsi="Arial" w:cs="Arial"/>
                <w:sz w:val="22"/>
                <w:rtl/>
                <w:szCs w:val="22"/>
              </w:rPr>
              <w:t>גוף שלישי, דרך עיניו ומחשבותיו של הילד</w:t>
            </w:r>
          </w:p>
        </w:tc>
      </w:tr>
      <w:tr>
        <w:tc>
          <w:tcPr>
            <w:tcW w:type="dxa" w:w="3475"/>
          </w:tcPr>
          <w:p>
            <w:pPr>
              <w:bidi/>
              <w:jc w:val="right"/>
            </w:pPr>
            <w:r>
              <w:rPr>
                <w:rFonts w:ascii="Arial" w:hAnsi="Arial" w:cs="Arial"/>
                <w:sz w:val="22"/>
                <w:rtl/>
                <w:szCs w:val="22"/>
              </w:rPr>
              <w:t>הבדידות</w:t>
            </w:r>
          </w:p>
        </w:tc>
        <w:tc>
          <w:tcPr>
            <w:tcW w:type="dxa" w:w="3475"/>
          </w:tcPr>
          <w:p>
            <w:pPr>
              <w:bidi/>
              <w:jc w:val="right"/>
            </w:pPr>
            <w:r>
              <w:rPr>
                <w:rFonts w:ascii="Arial" w:hAnsi="Arial" w:cs="Arial"/>
                <w:sz w:val="22"/>
                <w:rtl/>
                <w:szCs w:val="22"/>
              </w:rPr>
              <w:t>מחלה ובריחה אל השקט</w:t>
            </w:r>
          </w:p>
        </w:tc>
        <w:tc>
          <w:tcPr>
            <w:tcW w:type="dxa" w:w="3475"/>
          </w:tcPr>
          <w:p>
            <w:pPr>
              <w:bidi/>
              <w:jc w:val="right"/>
            </w:pPr>
            <w:r>
              <w:rPr>
                <w:rFonts w:ascii="Arial" w:hAnsi="Arial" w:cs="Arial"/>
                <w:sz w:val="22"/>
                <w:rtl/>
                <w:szCs w:val="22"/>
              </w:rPr>
              <w:t>ניכור בין אב לבן, שתיקה ועיתונים</w:t>
            </w:r>
          </w:p>
        </w:tc>
      </w:tr>
      <w:tr>
        <w:tc>
          <w:tcPr>
            <w:tcW w:type="dxa" w:w="3475"/>
          </w:tcPr>
          <w:p>
            <w:pPr>
              <w:bidi/>
              <w:jc w:val="right"/>
            </w:pPr>
            <w:r>
              <w:rPr>
                <w:rFonts w:ascii="Arial" w:hAnsi="Arial" w:cs="Arial"/>
                <w:sz w:val="22"/>
                <w:rtl/>
                <w:szCs w:val="22"/>
              </w:rPr>
              <w:t>הסמל המרכזי</w:t>
            </w:r>
          </w:p>
        </w:tc>
        <w:tc>
          <w:tcPr>
            <w:tcW w:type="dxa" w:w="3475"/>
          </w:tcPr>
          <w:p>
            <w:pPr>
              <w:bidi/>
              <w:jc w:val="right"/>
            </w:pPr>
            <w:r>
              <w:rPr>
                <w:rFonts w:ascii="Arial" w:hAnsi="Arial" w:cs="Arial"/>
                <w:sz w:val="22"/>
                <w:rtl/>
                <w:szCs w:val="22"/>
              </w:rPr>
              <w:t>התינוק והאסקופה (הסף)</w:t>
            </w:r>
          </w:p>
        </w:tc>
        <w:tc>
          <w:tcPr>
            <w:tcW w:type="dxa" w:w="3475"/>
          </w:tcPr>
          <w:p>
            <w:pPr>
              <w:bidi/>
              <w:jc w:val="right"/>
            </w:pPr>
            <w:r>
              <w:rPr>
                <w:rFonts w:ascii="Arial" w:hAnsi="Arial" w:cs="Arial"/>
                <w:sz w:val="22"/>
                <w:rtl/>
                <w:szCs w:val="22"/>
              </w:rPr>
              <w:t>התיק השחור הגדוש והסגור</w:t>
            </w:r>
          </w:p>
        </w:tc>
      </w:tr>
      <w:tr>
        <w:tc>
          <w:tcPr>
            <w:tcW w:type="dxa" w:w="3475"/>
          </w:tcPr>
          <w:p>
            <w:pPr>
              <w:bidi/>
              <w:jc w:val="right"/>
            </w:pPr>
            <w:r>
              <w:rPr>
                <w:rFonts w:ascii="Arial" w:hAnsi="Arial" w:cs="Arial"/>
                <w:sz w:val="22"/>
                <w:rtl/>
                <w:szCs w:val="22"/>
              </w:rPr>
              <w:t>הדמות שמביאה מגע</w:t>
            </w:r>
          </w:p>
        </w:tc>
        <w:tc>
          <w:tcPr>
            <w:tcW w:type="dxa" w:w="3475"/>
          </w:tcPr>
          <w:p>
            <w:pPr>
              <w:bidi/>
              <w:jc w:val="right"/>
            </w:pPr>
            <w:r>
              <w:rPr>
                <w:rFonts w:ascii="Arial" w:hAnsi="Arial" w:cs="Arial"/>
                <w:sz w:val="22"/>
                <w:rtl/>
                <w:szCs w:val="22"/>
              </w:rPr>
              <w:t>התינוק החולני של בעלי הבית</w:t>
            </w:r>
          </w:p>
        </w:tc>
        <w:tc>
          <w:tcPr>
            <w:tcW w:type="dxa" w:w="3475"/>
          </w:tcPr>
          <w:p>
            <w:pPr>
              <w:bidi/>
              <w:jc w:val="right"/>
            </w:pPr>
            <w:r>
              <w:rPr>
                <w:rFonts w:ascii="Arial" w:hAnsi="Arial" w:cs="Arial"/>
                <w:sz w:val="22"/>
                <w:rtl/>
                <w:szCs w:val="22"/>
              </w:rPr>
              <w:t>המורה השכנה</w:t>
            </w:r>
          </w:p>
        </w:tc>
      </w:tr>
      <w:tr>
        <w:tc>
          <w:tcPr>
            <w:tcW w:type="dxa" w:w="3475"/>
          </w:tcPr>
          <w:p>
            <w:pPr>
              <w:bidi/>
              <w:jc w:val="right"/>
            </w:pPr>
            <w:r>
              <w:rPr>
                <w:rFonts w:ascii="Arial" w:hAnsi="Arial" w:cs="Arial"/>
                <w:sz w:val="22"/>
                <w:rtl/>
                <w:szCs w:val="22"/>
              </w:rPr>
              <w:t>הסיום</w:t>
            </w:r>
          </w:p>
        </w:tc>
        <w:tc>
          <w:tcPr>
            <w:tcW w:type="dxa" w:w="3475"/>
          </w:tcPr>
          <w:p>
            <w:pPr>
              <w:bidi/>
              <w:jc w:val="right"/>
            </w:pPr>
            <w:r>
              <w:rPr>
                <w:rFonts w:ascii="Arial" w:hAnsi="Arial" w:cs="Arial"/>
                <w:sz w:val="22"/>
                <w:rtl/>
                <w:szCs w:val="22"/>
              </w:rPr>
              <w:t>חזרה לדירה הרועשת, הקשבה לקול התינוק</w:t>
            </w:r>
          </w:p>
        </w:tc>
        <w:tc>
          <w:tcPr>
            <w:tcW w:type="dxa" w:w="3475"/>
          </w:tcPr>
          <w:p>
            <w:pPr>
              <w:bidi/>
              <w:jc w:val="right"/>
            </w:pPr>
            <w:r>
              <w:rPr>
                <w:rFonts w:ascii="Arial" w:hAnsi="Arial" w:cs="Arial"/>
                <w:sz w:val="22"/>
                <w:rtl/>
                <w:szCs w:val="22"/>
              </w:rPr>
              <w:t>מגע רך של המורה; הילד מתאפק ובורח הביתה</w:t>
            </w:r>
          </w:p>
        </w:tc>
      </w:tr>
    </w:tbl>
    <w:p>
      <w:pPr>
        <w:bidi/>
        <w:jc w:val="right"/>
      </w:pPr>
    </w:p>
    <w:p>
      <w:pPr>
        <w:bidi/>
        <w:pStyle w:val="Heading2"/>
        <w:jc w:val="right"/>
      </w:pPr>
      <w:r>
        <w:rPr>
          <w:rFonts w:ascii="Arial" w:hAnsi="Arial" w:cs="Arial"/>
          <w:b/>
          <w:color w:val="6A3FD4"/>
          <w:sz w:val="32"/>
          <w:rtl/>
          <w:szCs w:val="32"/>
          <w:bCs/>
        </w:rPr>
        <w:t>מחוון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2"/>
                <w:rtl/>
                <w:szCs w:val="22"/>
                <w:bCs/>
              </w:rPr>
              <w:t>רכיב</w:t>
            </w:r>
          </w:p>
        </w:tc>
        <w:tc>
          <w:tcPr>
            <w:tcW w:type="dxa" w:w="5213"/>
            <w:shd w:val="clear" w:fill="E5DBFF"/>
          </w:tcPr>
          <w:p>
            <w:pPr>
              <w:bidi/>
              <w:jc w:val="right"/>
            </w:pPr>
            <w:r>
              <w:rPr>
                <w:rFonts w:ascii="Arial" w:hAnsi="Arial" w:cs="Arial"/>
                <w:b/>
                <w:sz w:val="22"/>
                <w:rtl/>
                <w:szCs w:val="22"/>
                <w:bCs/>
              </w:rPr>
              <w:t>נקודות</w:t>
            </w:r>
          </w:p>
        </w:tc>
      </w:tr>
      <w:tr>
        <w:tc>
          <w:tcPr>
            <w:tcW w:type="dxa" w:w="5213"/>
          </w:tcPr>
          <w:p>
            <w:pPr>
              <w:bidi/>
              <w:jc w:val="right"/>
            </w:pPr>
            <w:r>
              <w:rPr>
                <w:rFonts w:ascii="Arial" w:hAnsi="Arial" w:cs="Arial"/>
                <w:sz w:val="22"/>
                <w:rtl/>
                <w:szCs w:val="22"/>
              </w:rPr>
              <w:t>טענה מרכזית ברורה שעונה בדיוק על השאלה</w:t>
            </w:r>
          </w:p>
        </w:tc>
        <w:tc>
          <w:tcPr>
            <w:tcW w:type="dxa" w:w="5213"/>
          </w:tcPr>
          <w:p>
            <w:pPr>
              <w:bidi/>
              <w:jc w:val="right"/>
            </w:pPr>
            <w:r>
              <w:rPr>
                <w:rFonts w:ascii="Arial" w:hAnsi="Arial" w:cs="Arial"/>
                <w:sz w:val="22"/>
                <w:rtl/>
                <w:szCs w:val="22"/>
              </w:rPr>
              <w:t>5</w:t>
            </w:r>
          </w:p>
        </w:tc>
      </w:tr>
      <w:tr>
        <w:tc>
          <w:tcPr>
            <w:tcW w:type="dxa" w:w="5213"/>
          </w:tcPr>
          <w:p>
            <w:pPr>
              <w:bidi/>
              <w:jc w:val="right"/>
            </w:pPr>
            <w:r>
              <w:rPr>
                <w:rFonts w:ascii="Arial" w:hAnsi="Arial" w:cs="Arial"/>
                <w:sz w:val="22"/>
                <w:rtl/>
                <w:szCs w:val="22"/>
              </w:rPr>
              <w:t>ביסוס: לפחות שתי דוגמאות מדויקות מהיצירה (ציטוט קצר או תיאור רגע)</w:t>
            </w:r>
          </w:p>
        </w:tc>
        <w:tc>
          <w:tcPr>
            <w:tcW w:type="dxa" w:w="5213"/>
          </w:tcPr>
          <w:p>
            <w:pPr>
              <w:bidi/>
              <w:jc w:val="right"/>
            </w:pPr>
            <w:r>
              <w:rPr>
                <w:rFonts w:ascii="Arial" w:hAnsi="Arial" w:cs="Arial"/>
                <w:sz w:val="22"/>
                <w:rtl/>
                <w:szCs w:val="22"/>
              </w:rPr>
              <w:t>8</w:t>
            </w:r>
          </w:p>
        </w:tc>
      </w:tr>
      <w:tr>
        <w:tc>
          <w:tcPr>
            <w:tcW w:type="dxa" w:w="5213"/>
          </w:tcPr>
          <w:p>
            <w:pPr>
              <w:bidi/>
              <w:jc w:val="right"/>
            </w:pPr>
            <w:r>
              <w:rPr>
                <w:rFonts w:ascii="Arial" w:hAnsi="Arial" w:cs="Arial"/>
                <w:sz w:val="22"/>
                <w:rtl/>
                <w:szCs w:val="22"/>
              </w:rPr>
              <w:t>הסבר: קישור כל דוגמה לטענה – למה היא מוכיחה אותה</w:t>
            </w:r>
          </w:p>
        </w:tc>
        <w:tc>
          <w:tcPr>
            <w:tcW w:type="dxa" w:w="5213"/>
          </w:tcPr>
          <w:p>
            <w:pPr>
              <w:bidi/>
              <w:jc w:val="right"/>
            </w:pPr>
            <w:r>
              <w:rPr>
                <w:rFonts w:ascii="Arial" w:hAnsi="Arial" w:cs="Arial"/>
                <w:sz w:val="22"/>
                <w:rtl/>
                <w:szCs w:val="22"/>
              </w:rPr>
              <w:t>7</w:t>
            </w:r>
          </w:p>
        </w:tc>
      </w:tr>
      <w:tr>
        <w:tc>
          <w:tcPr>
            <w:tcW w:type="dxa" w:w="5213"/>
          </w:tcPr>
          <w:p>
            <w:pPr>
              <w:bidi/>
              <w:jc w:val="right"/>
            </w:pPr>
            <w:r>
              <w:rPr>
                <w:rFonts w:ascii="Arial" w:hAnsi="Arial" w:cs="Arial"/>
                <w:sz w:val="22"/>
                <w:rtl/>
                <w:szCs w:val="22"/>
              </w:rPr>
              <w:t>שימוש נכון במושגים ספרותיים (מספר, ניגוד, סמל, אירוניה…)</w:t>
            </w:r>
          </w:p>
        </w:tc>
        <w:tc>
          <w:tcPr>
            <w:tcW w:type="dxa" w:w="5213"/>
          </w:tcPr>
          <w:p>
            <w:pPr>
              <w:bidi/>
              <w:jc w:val="right"/>
            </w:pPr>
            <w:r>
              <w:rPr>
                <w:rFonts w:ascii="Arial" w:hAnsi="Arial" w:cs="Arial"/>
                <w:sz w:val="22"/>
                <w:rtl/>
                <w:szCs w:val="22"/>
              </w:rPr>
              <w:t>3</w:t>
            </w:r>
          </w:p>
        </w:tc>
      </w:tr>
      <w:tr>
        <w:tc>
          <w:tcPr>
            <w:tcW w:type="dxa" w:w="5213"/>
          </w:tcPr>
          <w:p>
            <w:pPr>
              <w:bidi/>
              <w:jc w:val="right"/>
            </w:pPr>
            <w:r>
              <w:rPr>
                <w:rFonts w:ascii="Arial" w:hAnsi="Arial" w:cs="Arial"/>
                <w:sz w:val="22"/>
                <w:rtl/>
                <w:szCs w:val="22"/>
              </w:rPr>
              <w:t>מבנה, לשון וסיכום שחוזר לטענה</w:t>
            </w:r>
          </w:p>
        </w:tc>
        <w:tc>
          <w:tcPr>
            <w:tcW w:type="dxa" w:w="5213"/>
          </w:tcPr>
          <w:p>
            <w:pPr>
              <w:bidi/>
              <w:jc w:val="right"/>
            </w:pPr>
            <w:r>
              <w:rPr>
                <w:rFonts w:ascii="Arial" w:hAnsi="Arial" w:cs="Arial"/>
                <w:sz w:val="22"/>
                <w:rtl/>
                <w:szCs w:val="22"/>
              </w:rPr>
              <w:t>2</w:t>
            </w:r>
          </w:p>
        </w:tc>
      </w:tr>
      <w:tr>
        <w:tc>
          <w:tcPr>
            <w:tcW w:type="dxa" w:w="5213"/>
          </w:tcPr>
          <w:p>
            <w:pPr>
              <w:bidi/>
              <w:jc w:val="right"/>
            </w:pPr>
            <w:r>
              <w:rPr>
                <w:rFonts w:ascii="Arial" w:hAnsi="Arial" w:cs="Arial"/>
                <w:sz w:val="22"/>
                <w:rtl/>
                <w:szCs w:val="22"/>
              </w:rPr>
              <w:t>סה״כ</w:t>
            </w:r>
          </w:p>
        </w:tc>
        <w:tc>
          <w:tcPr>
            <w:tcW w:type="dxa" w:w="5213"/>
          </w:tcPr>
          <w:p>
            <w:pPr>
              <w:bidi/>
              <w:jc w:val="right"/>
            </w:pPr>
            <w:r>
              <w:rPr>
                <w:rFonts w:ascii="Arial" w:hAnsi="Arial" w:cs="Arial"/>
                <w:sz w:val="22"/>
                <w:rtl/>
                <w:szCs w:val="22"/>
              </w:rPr>
              <w:t>25</w:t>
            </w:r>
          </w:p>
        </w:tc>
      </w:tr>
    </w:tbl>
    <w:p>
      <w:pPr>
        <w:bidi/>
        <w:jc w:val="right"/>
      </w:pPr>
    </w:p>
    <w:p>
      <w:r>
        <w:br w:type="page"/>
      </w:r>
    </w:p>
    <w:p>
      <w:pPr>
        <w:bidi/>
        <w:pStyle w:val="Heading1"/>
        <w:jc w:val="right"/>
      </w:pPr>
      <w:r>
        <w:rPr>
          <w:rFonts w:ascii="Arial" w:hAnsi="Arial" w:cs="Arial"/>
          <w:b/>
          <w:color w:val="4B2BA8"/>
          <w:sz w:val="40"/>
          <w:rtl/>
          <w:szCs w:val="40"/>
          <w:bCs/>
        </w:rPr>
        <w:t>דף תלמיד – השוואה</w:t>
      </w:r>
    </w:p>
    <w:p>
      <w:pPr>
        <w:bidi/>
        <w:jc w:val="right"/>
      </w:pPr>
      <w:r>
        <w:rPr>
          <w:rFonts w:ascii="Arial" w:hAnsi="Arial" w:cs="Arial"/>
          <w:b/>
          <w:sz w:val="24"/>
          <w:rtl/>
          <w:szCs w:val="24"/>
          <w:bCs/>
        </w:rPr>
        <w:t>שם: ____________   כיתה: ______   תאריך: ______</w:t>
      </w:r>
    </w:p>
    <w:p>
      <w:pPr>
        <w:bidi/>
        <w:pStyle w:val="Heading2"/>
        <w:jc w:val="right"/>
      </w:pPr>
      <w:r>
        <w:rPr>
          <w:rFonts w:ascii="Arial" w:hAnsi="Arial" w:cs="Arial"/>
          <w:b/>
          <w:color w:val="6A3FD4"/>
          <w:sz w:val="32"/>
          <w:rtl/>
          <w:szCs w:val="32"/>
          <w:bCs/>
        </w:rPr>
        <w:t>חלק א׳ – טבלת השוואה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היבט</w:t>
            </w:r>
          </w:p>
        </w:tc>
        <w:tc>
          <w:tcPr>
            <w:tcW w:type="dxa" w:w="3475"/>
            <w:shd w:val="clear" w:fill="E5DBFF"/>
          </w:tcPr>
          <w:p>
            <w:pPr>
              <w:bidi/>
              <w:jc w:val="right"/>
            </w:pPr>
            <w:r>
              <w:rPr>
                <w:rFonts w:ascii="Arial" w:hAnsi="Arial" w:cs="Arial"/>
                <w:b/>
                <w:sz w:val="22"/>
                <w:rtl/>
                <w:szCs w:val="22"/>
                <w:bCs/>
              </w:rPr>
              <w:t>מדירה לדירה</w:t>
            </w:r>
          </w:p>
        </w:tc>
        <w:tc>
          <w:tcPr>
            <w:tcW w:type="dxa" w:w="3475"/>
            <w:shd w:val="clear" w:fill="E5DBFF"/>
          </w:tcPr>
          <w:p>
            <w:pPr>
              <w:bidi/>
              <w:jc w:val="right"/>
            </w:pPr>
            <w:r>
              <w:rPr>
                <w:rFonts w:ascii="Arial" w:hAnsi="Arial" w:cs="Arial"/>
                <w:b/>
                <w:sz w:val="22"/>
                <w:rtl/>
                <w:szCs w:val="22"/>
                <w:bCs/>
              </w:rPr>
              <w:t>התיק השחור</w:t>
            </w:r>
          </w:p>
        </w:tc>
      </w:tr>
      <w:tr>
        <w:tc>
          <w:tcPr>
            <w:tcW w:type="dxa" w:w="3475"/>
          </w:tcPr>
          <w:p>
            <w:pPr>
              <w:bidi/>
              <w:jc w:val="right"/>
            </w:pPr>
            <w:r>
              <w:rPr>
                <w:rFonts w:ascii="Arial" w:hAnsi="Arial" w:cs="Arial"/>
                <w:sz w:val="22"/>
                <w:rtl/>
                <w:szCs w:val="22"/>
              </w:rPr>
              <w:t>הגיבור</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המספר</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הבדידות</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הסמל המרכזי</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הדמות שמביאה מגע</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הסיום</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bl>
    <w:p>
      <w:pPr>
        <w:bidi/>
        <w:jc w:val="right"/>
      </w:pPr>
    </w:p>
    <w:p>
      <w:pPr>
        <w:bidi/>
        <w:pStyle w:val="Heading2"/>
        <w:jc w:val="right"/>
      </w:pPr>
      <w:r>
        <w:rPr>
          <w:rFonts w:ascii="Arial" w:hAnsi="Arial" w:cs="Arial"/>
          <w:b/>
          <w:color w:val="6A3FD4"/>
          <w:sz w:val="32"/>
          <w:rtl/>
          <w:szCs w:val="32"/>
          <w:bCs/>
        </w:rPr>
        <w:t>חלק ב׳ – דומה ושונה</w:t>
      </w:r>
    </w:p>
    <w:p>
      <w:pPr>
        <w:bidi/>
        <w:jc w:val="right"/>
      </w:pPr>
      <w:r>
        <w:rPr>
          <w:rFonts w:ascii="Arial" w:hAnsi="Arial" w:cs="Arial"/>
          <w:sz w:val="24"/>
          <w:rtl/>
          <w:szCs w:val="24"/>
        </w:rPr>
        <w:t>נקודה דומה: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נקודה שונה: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חלק ג׳ – כתיבה</w:t>
      </w:r>
    </w:p>
    <w:p>
      <w:pPr>
        <w:bidi/>
        <w:jc w:val="right"/>
      </w:pPr>
      <w:r>
        <w:rPr>
          <w:rFonts w:ascii="Arial" w:hAnsi="Arial" w:cs="Arial"/>
          <w:sz w:val="24"/>
          <w:rtl/>
          <w:szCs w:val="24"/>
        </w:rPr>
        <w:t>השוו בין "מדירה לדירה" לבין "התיק השחור": הסבירו כיצד מעוצבת בכל אחד מהסיפורים בדידותו של הגיבור, ומה תפקידה של הדמות המשנית שמביאה איתה רגע של קרבה. התייחסו לנקודה אחת דומה ולנקודה אחת שונה.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כרטיס יציאה – השוואה</w:t>
      </w:r>
    </w:p>
    <w:p>
      <w:pPr>
        <w:bidi/>
        <w:jc w:val="right"/>
      </w:pPr>
      <w:r>
        <w:rPr>
          <w:rFonts w:ascii="Arial" w:hAnsi="Arial" w:cs="Arial"/>
          <w:sz w:val="24"/>
          <w:rtl/>
          <w:szCs w:val="24"/>
        </w:rPr>
        <w:t>• דבר אחד חדש שלמדתי היום:</w:t>
      </w:r>
    </w:p>
    <w:p>
      <w:pPr>
        <w:bidi/>
        <w:jc w:val="right"/>
      </w:pPr>
      <w:r>
        <w:rPr>
          <w:rFonts w:ascii="Arial" w:hAnsi="Arial" w:cs="Arial"/>
          <w:sz w:val="24"/>
          <w:rtl/>
          <w:szCs w:val="24"/>
        </w:rPr>
        <w:t>• שאלה אחת שעדיין מעסיקה אותי:</w:t>
      </w:r>
    </w:p>
    <w:p>
      <w:pPr>
        <w:bidi/>
        <w:jc w:val="right"/>
      </w:pPr>
      <w:r>
        <w:rPr>
          <w:rFonts w:ascii="Arial" w:hAnsi="Arial" w:cs="Arial"/>
          <w:sz w:val="24"/>
          <w:rtl/>
          <w:szCs w:val="24"/>
        </w:rPr>
        <w:t>• מ-1 עד 5, עד כמה אני מרגיש/ה מוכן/ה לשאלה כזו בבחינה? 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השוואה – מדירה לדירה והתיק השחור</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